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45FE" w:rsidRPr="000445FE" w:rsidRDefault="000445FE" w:rsidP="000445FE">
      <w:pPr>
        <w:shd w:val="clear" w:color="auto" w:fill="FFFFFF"/>
        <w:spacing w:after="100" w:afterAutospacing="1" w:line="240" w:lineRule="auto"/>
        <w:jc w:val="center"/>
        <w:outlineLvl w:val="1"/>
        <w:rPr>
          <w:rFonts w:ascii="NunitoSans" w:eastAsia="Times New Roman" w:hAnsi="NunitoSans" w:cs="Times New Roman"/>
          <w:b/>
          <w:bCs/>
          <w:color w:val="636363"/>
          <w:sz w:val="36"/>
          <w:szCs w:val="36"/>
          <w:lang w:eastAsia="cs-CZ"/>
        </w:rPr>
      </w:pPr>
      <w:bookmarkStart w:id="0" w:name="_GoBack"/>
      <w:bookmarkEnd w:id="0"/>
      <w:r w:rsidRPr="000445FE">
        <w:rPr>
          <w:rFonts w:ascii="NunitoSans" w:eastAsia="Times New Roman" w:hAnsi="NunitoSans" w:cs="Times New Roman"/>
          <w:b/>
          <w:bCs/>
          <w:color w:val="636363"/>
          <w:sz w:val="36"/>
          <w:szCs w:val="36"/>
          <w:lang w:eastAsia="cs-CZ"/>
        </w:rPr>
        <w:br/>
        <w:t>RILSA Policy Brief k vývoji české ekonomiky</w:t>
      </w:r>
    </w:p>
    <w:p w:rsidR="000445FE" w:rsidRPr="000445FE" w:rsidRDefault="000445FE" w:rsidP="000445FE">
      <w:pPr>
        <w:shd w:val="clear" w:color="auto" w:fill="FFFFFF"/>
        <w:spacing w:after="100" w:afterAutospacing="1" w:line="240" w:lineRule="auto"/>
        <w:jc w:val="center"/>
        <w:rPr>
          <w:rFonts w:ascii="NunitoSans" w:eastAsia="Times New Roman" w:hAnsi="NunitoSans" w:cs="Times New Roman"/>
          <w:color w:val="404040"/>
          <w:sz w:val="24"/>
          <w:szCs w:val="24"/>
          <w:lang w:eastAsia="cs-CZ"/>
        </w:rPr>
      </w:pPr>
      <w:r w:rsidRPr="000445FE">
        <w:rPr>
          <w:rFonts w:ascii="NunitoSans" w:eastAsia="Times New Roman" w:hAnsi="NunitoSans" w:cs="Times New Roman"/>
          <w:color w:val="404040"/>
          <w:sz w:val="24"/>
          <w:szCs w:val="24"/>
          <w:lang w:eastAsia="cs-CZ"/>
        </w:rPr>
        <w:t>(kontext pro 37 opatření navržených NERVem)</w:t>
      </w:r>
    </w:p>
    <w:p w:rsidR="000445FE" w:rsidRPr="000445FE" w:rsidRDefault="000445FE" w:rsidP="000445FE">
      <w:pPr>
        <w:shd w:val="clear" w:color="auto" w:fill="FFFFFF"/>
        <w:spacing w:after="100" w:afterAutospacing="1" w:line="240" w:lineRule="auto"/>
        <w:jc w:val="center"/>
        <w:rPr>
          <w:rFonts w:ascii="NunitoSans" w:eastAsia="Times New Roman" w:hAnsi="NunitoSans" w:cs="Times New Roman"/>
          <w:color w:val="404040"/>
          <w:sz w:val="24"/>
          <w:szCs w:val="24"/>
          <w:lang w:eastAsia="cs-CZ"/>
        </w:rPr>
      </w:pPr>
      <w:r w:rsidRPr="000445FE">
        <w:rPr>
          <w:rFonts w:ascii="NunitoSans" w:eastAsia="Times New Roman" w:hAnsi="NunitoSans" w:cs="Times New Roman"/>
          <w:color w:val="404040"/>
          <w:sz w:val="24"/>
          <w:szCs w:val="24"/>
          <w:lang w:eastAsia="cs-CZ"/>
        </w:rPr>
        <w:t>tisková zpráva Výzkumného ústavu práce a sociálních věcí, v. v. i.</w:t>
      </w:r>
    </w:p>
    <w:p w:rsidR="000445FE" w:rsidRPr="000445FE" w:rsidRDefault="000445FE" w:rsidP="000445FE">
      <w:pPr>
        <w:shd w:val="clear" w:color="auto" w:fill="FFFFFF"/>
        <w:spacing w:after="100" w:afterAutospacing="1" w:line="240" w:lineRule="auto"/>
        <w:jc w:val="both"/>
        <w:rPr>
          <w:rFonts w:ascii="NunitoSans" w:eastAsia="Times New Roman" w:hAnsi="NunitoSans" w:cs="Times New Roman"/>
          <w:color w:val="404040"/>
          <w:sz w:val="24"/>
          <w:szCs w:val="24"/>
          <w:lang w:eastAsia="cs-CZ"/>
        </w:rPr>
      </w:pPr>
      <w:r w:rsidRPr="000445FE">
        <w:rPr>
          <w:rFonts w:ascii="NunitoSans" w:eastAsia="Times New Roman" w:hAnsi="NunitoSans" w:cs="Times New Roman"/>
          <w:color w:val="404040"/>
          <w:sz w:val="24"/>
          <w:szCs w:val="24"/>
          <w:lang w:eastAsia="cs-CZ"/>
        </w:rPr>
        <w:t>26. 01. 2024</w:t>
      </w:r>
    </w:p>
    <w:p w:rsidR="000445FE" w:rsidRPr="000445FE" w:rsidRDefault="000445FE" w:rsidP="000445FE">
      <w:pPr>
        <w:shd w:val="clear" w:color="auto" w:fill="FFFFFF"/>
        <w:spacing w:after="100" w:afterAutospacing="1" w:line="240" w:lineRule="auto"/>
        <w:jc w:val="both"/>
        <w:rPr>
          <w:rFonts w:ascii="NunitoSans" w:eastAsia="Times New Roman" w:hAnsi="NunitoSans" w:cs="Times New Roman"/>
          <w:color w:val="404040"/>
          <w:sz w:val="24"/>
          <w:szCs w:val="24"/>
          <w:lang w:eastAsia="cs-CZ"/>
        </w:rPr>
      </w:pPr>
      <w:r w:rsidRPr="000445FE">
        <w:rPr>
          <w:rFonts w:ascii="NunitoSans" w:eastAsia="Times New Roman" w:hAnsi="NunitoSans" w:cs="Times New Roman"/>
          <w:b/>
          <w:bCs/>
          <w:color w:val="404040"/>
          <w:sz w:val="24"/>
          <w:szCs w:val="24"/>
          <w:lang w:eastAsia="cs-CZ"/>
        </w:rPr>
        <w:t>Poradní orgán české vlády NERV tento týden představil soubor prorůstových opatření, která mají pomoci oživit českou ekonomiku. Jednou z klíčových oblastí je v tomto ohledu trh práce. Proto výzkumníci z RILSA Robin Maialeh a Umut Ünal zkonstruovali tzv. Beveridgeovu křivku pro Českou republiku. Na základě toho vedou diskusi, jakým směrem by se měla ubírat hospodářsko-politická opatření v České republice.</w:t>
      </w:r>
    </w:p>
    <w:p w:rsidR="000445FE" w:rsidRPr="000445FE" w:rsidRDefault="000445FE" w:rsidP="000445FE">
      <w:pPr>
        <w:shd w:val="clear" w:color="auto" w:fill="FFFFFF"/>
        <w:spacing w:after="100" w:afterAutospacing="1" w:line="240" w:lineRule="auto"/>
        <w:jc w:val="both"/>
        <w:rPr>
          <w:rFonts w:ascii="NunitoSans" w:eastAsia="Times New Roman" w:hAnsi="NunitoSans" w:cs="Times New Roman"/>
          <w:color w:val="404040"/>
          <w:sz w:val="24"/>
          <w:szCs w:val="24"/>
          <w:lang w:eastAsia="cs-CZ"/>
        </w:rPr>
      </w:pPr>
      <w:r w:rsidRPr="000445FE">
        <w:rPr>
          <w:rFonts w:ascii="NunitoSans" w:eastAsia="Times New Roman" w:hAnsi="NunitoSans" w:cs="Times New Roman"/>
          <w:color w:val="404040"/>
          <w:sz w:val="24"/>
          <w:szCs w:val="24"/>
          <w:lang w:eastAsia="cs-CZ"/>
        </w:rPr>
        <w:t>Autoři z </w:t>
      </w:r>
      <w:r w:rsidRPr="000445FE">
        <w:rPr>
          <w:rFonts w:ascii="NunitoSans" w:eastAsia="Times New Roman" w:hAnsi="NunitoSans" w:cs="Times New Roman"/>
          <w:b/>
          <w:bCs/>
          <w:color w:val="404040"/>
          <w:sz w:val="24"/>
          <w:szCs w:val="24"/>
          <w:lang w:eastAsia="cs-CZ"/>
        </w:rPr>
        <w:t>Výzkumného ústavu práce a sociálních věcí (RILSA)</w:t>
      </w:r>
      <w:r w:rsidRPr="000445FE">
        <w:rPr>
          <w:rFonts w:ascii="NunitoSans" w:eastAsia="Times New Roman" w:hAnsi="NunitoSans" w:cs="Times New Roman"/>
          <w:color w:val="404040"/>
          <w:sz w:val="24"/>
          <w:szCs w:val="24"/>
          <w:lang w:eastAsia="cs-CZ"/>
        </w:rPr>
        <w:t> ve svém novém policy briefu varují zejména před souběhem fiskální a monetární restrikce za situace setrvalého poklesu spotřeby domácností. </w:t>
      </w:r>
    </w:p>
    <w:p w:rsidR="000445FE" w:rsidRPr="000445FE" w:rsidRDefault="000445FE" w:rsidP="000445FE">
      <w:pPr>
        <w:shd w:val="clear" w:color="auto" w:fill="FFFFFF"/>
        <w:spacing w:after="100" w:afterAutospacing="1" w:line="240" w:lineRule="auto"/>
        <w:jc w:val="both"/>
        <w:rPr>
          <w:rFonts w:ascii="NunitoSans" w:eastAsia="Times New Roman" w:hAnsi="NunitoSans" w:cs="Times New Roman"/>
          <w:color w:val="404040"/>
          <w:sz w:val="24"/>
          <w:szCs w:val="24"/>
          <w:lang w:eastAsia="cs-CZ"/>
        </w:rPr>
      </w:pPr>
      <w:r w:rsidRPr="000445FE">
        <w:rPr>
          <w:rFonts w:ascii="NunitoSans" w:eastAsia="Times New Roman" w:hAnsi="NunitoSans" w:cs="Times New Roman"/>
          <w:color w:val="404040"/>
          <w:sz w:val="24"/>
          <w:szCs w:val="24"/>
          <w:lang w:eastAsia="cs-CZ"/>
        </w:rPr>
        <w:t>Citujeme z policy briefu </w:t>
      </w:r>
      <w:r w:rsidRPr="000445FE">
        <w:rPr>
          <w:rFonts w:ascii="NunitoSans" w:eastAsia="Times New Roman" w:hAnsi="NunitoSans" w:cs="Times New Roman"/>
          <w:b/>
          <w:bCs/>
          <w:color w:val="404040"/>
          <w:sz w:val="24"/>
          <w:szCs w:val="24"/>
          <w:lang w:eastAsia="cs-CZ"/>
        </w:rPr>
        <w:t>Úvahy o vývoji české ekonomiky: poznatky z Beveridgeovy křivky</w:t>
      </w:r>
      <w:r w:rsidRPr="000445FE">
        <w:rPr>
          <w:rFonts w:ascii="NunitoSans" w:eastAsia="Times New Roman" w:hAnsi="NunitoSans" w:cs="Times New Roman"/>
          <w:color w:val="404040"/>
          <w:sz w:val="24"/>
          <w:szCs w:val="24"/>
          <w:lang w:eastAsia="cs-CZ"/>
        </w:rPr>
        <w:t>: </w:t>
      </w:r>
      <w:r w:rsidRPr="000445FE">
        <w:rPr>
          <w:rFonts w:ascii="NunitoSans" w:eastAsia="Times New Roman" w:hAnsi="NunitoSans" w:cs="Times New Roman"/>
          <w:i/>
          <w:iCs/>
          <w:color w:val="404040"/>
          <w:sz w:val="24"/>
          <w:szCs w:val="24"/>
          <w:lang w:eastAsia="cs-CZ"/>
        </w:rPr>
        <w:t>„Současná kombinace měnových a fiskálních restrikcí nezanedbatelně ohrožuje ekonomickou trajektorii České republiky. Inflace je tažena především cenově neelastickými položkami spotřebního koše, jejichž ceny jen minimálně (a nepřímo) reagují na úpravy úrokových sazeb. Proto se udržované vysoké úrokové sazby mohou ukázat jako nedostatečné jak z hlediska zmírnění inflace, tak zároveň jako překážka ekonomického růstu. Konsolidační balíček zavedený na začátku roku 2024 v důsledku obav o stav veřejných financí pravděpodobně dále podváže agregátní poptávku, a tím i celkový ekonomický růst. Potenciální dopad na trh práce, včetně mírného zvýšení míry nezaměstnanosti, pak může ohrozit konvergenci české mzdové úrovně s úrovní mezd v EU-15, a tím potenciálně neutralizovat pozitivní výhled reálných mezd ve střednědobém horizontu“. </w:t>
      </w:r>
    </w:p>
    <w:p w:rsidR="000445FE" w:rsidRPr="000445FE" w:rsidRDefault="000445FE" w:rsidP="000445FE">
      <w:pPr>
        <w:shd w:val="clear" w:color="auto" w:fill="FFFFFF"/>
        <w:spacing w:after="100" w:afterAutospacing="1" w:line="240" w:lineRule="auto"/>
        <w:jc w:val="both"/>
        <w:rPr>
          <w:rFonts w:ascii="NunitoSans" w:eastAsia="Times New Roman" w:hAnsi="NunitoSans" w:cs="Times New Roman"/>
          <w:color w:val="404040"/>
          <w:sz w:val="24"/>
          <w:szCs w:val="24"/>
          <w:lang w:eastAsia="cs-CZ"/>
        </w:rPr>
      </w:pPr>
      <w:r w:rsidRPr="000445FE">
        <w:rPr>
          <w:rFonts w:ascii="NunitoSans" w:eastAsia="Times New Roman" w:hAnsi="NunitoSans" w:cs="Times New Roman"/>
          <w:color w:val="404040"/>
          <w:sz w:val="24"/>
          <w:szCs w:val="24"/>
          <w:lang w:eastAsia="cs-CZ"/>
        </w:rPr>
        <w:t>Volně dostupná plná verze policy briefu </w:t>
      </w:r>
      <w:hyperlink r:id="rId4" w:tgtFrame="_blank" w:history="1">
        <w:r w:rsidRPr="000445FE">
          <w:rPr>
            <w:rFonts w:ascii="NunitoSans" w:eastAsia="Times New Roman" w:hAnsi="NunitoSans" w:cs="Times New Roman"/>
            <w:b/>
            <w:bCs/>
            <w:color w:val="404040"/>
            <w:sz w:val="24"/>
            <w:szCs w:val="24"/>
            <w:u w:val="single"/>
            <w:lang w:eastAsia="cs-CZ"/>
          </w:rPr>
          <w:t>Úvahy o vývoji české ekonomiky: poznatky z Beveridgeovy křivky</w:t>
        </w:r>
      </w:hyperlink>
      <w:r w:rsidRPr="000445FE">
        <w:rPr>
          <w:rFonts w:ascii="NunitoSans" w:eastAsia="Times New Roman" w:hAnsi="NunitoSans" w:cs="Times New Roman"/>
          <w:color w:val="404040"/>
          <w:sz w:val="24"/>
          <w:szCs w:val="24"/>
          <w:lang w:eastAsia="cs-CZ"/>
        </w:rPr>
        <w:t>.</w:t>
      </w:r>
    </w:p>
    <w:p w:rsidR="000445FE" w:rsidRPr="000445FE" w:rsidRDefault="000445FE" w:rsidP="000445FE">
      <w:pPr>
        <w:shd w:val="clear" w:color="auto" w:fill="FFFFFF"/>
        <w:spacing w:after="100" w:afterAutospacing="1" w:line="240" w:lineRule="auto"/>
        <w:jc w:val="both"/>
        <w:rPr>
          <w:rFonts w:ascii="NunitoSans" w:eastAsia="Times New Roman" w:hAnsi="NunitoSans" w:cs="Times New Roman"/>
          <w:color w:val="404040"/>
          <w:sz w:val="24"/>
          <w:szCs w:val="24"/>
          <w:lang w:eastAsia="cs-CZ"/>
        </w:rPr>
      </w:pPr>
      <w:r w:rsidRPr="000445FE">
        <w:rPr>
          <w:rFonts w:ascii="NunitoSans" w:eastAsia="Times New Roman" w:hAnsi="NunitoSans" w:cs="Times New Roman"/>
          <w:color w:val="404040"/>
          <w:sz w:val="24"/>
          <w:szCs w:val="24"/>
          <w:lang w:eastAsia="cs-CZ"/>
        </w:rPr>
        <w:t>Zveřejňujeme rovněž </w:t>
      </w:r>
      <w:hyperlink r:id="rId5" w:tgtFrame="_blank" w:history="1">
        <w:r w:rsidRPr="000445FE">
          <w:rPr>
            <w:rFonts w:ascii="NunitoSans" w:eastAsia="Times New Roman" w:hAnsi="NunitoSans" w:cs="Times New Roman"/>
            <w:color w:val="404040"/>
            <w:sz w:val="24"/>
            <w:szCs w:val="24"/>
            <w:u w:val="single"/>
            <w:lang w:eastAsia="cs-CZ"/>
          </w:rPr>
          <w:t>anglickou verzi téhož policy briefu</w:t>
        </w:r>
      </w:hyperlink>
      <w:r w:rsidRPr="000445FE">
        <w:rPr>
          <w:rFonts w:ascii="NunitoSans" w:eastAsia="Times New Roman" w:hAnsi="NunitoSans" w:cs="Times New Roman"/>
          <w:color w:val="404040"/>
          <w:sz w:val="24"/>
          <w:szCs w:val="24"/>
          <w:lang w:eastAsia="cs-CZ"/>
        </w:rPr>
        <w:t>.</w:t>
      </w:r>
    </w:p>
    <w:p w:rsidR="000445FE" w:rsidRPr="000445FE" w:rsidRDefault="000445FE" w:rsidP="000445FE">
      <w:pPr>
        <w:shd w:val="clear" w:color="auto" w:fill="FFFFFF"/>
        <w:spacing w:after="100" w:afterAutospacing="1" w:line="240" w:lineRule="auto"/>
        <w:jc w:val="both"/>
        <w:rPr>
          <w:rFonts w:ascii="NunitoSans" w:eastAsia="Times New Roman" w:hAnsi="NunitoSans" w:cs="Times New Roman"/>
          <w:color w:val="404040"/>
          <w:sz w:val="24"/>
          <w:szCs w:val="24"/>
          <w:lang w:eastAsia="cs-CZ"/>
        </w:rPr>
      </w:pPr>
      <w:r w:rsidRPr="000445FE">
        <w:rPr>
          <w:rFonts w:ascii="NunitoSans" w:eastAsia="Times New Roman" w:hAnsi="NunitoSans" w:cs="Times New Roman"/>
          <w:b/>
          <w:bCs/>
          <w:color w:val="404040"/>
          <w:sz w:val="24"/>
          <w:szCs w:val="24"/>
          <w:lang w:eastAsia="cs-CZ"/>
        </w:rPr>
        <w:t>Robin Maialeh</w:t>
      </w:r>
      <w:r w:rsidRPr="000445FE">
        <w:rPr>
          <w:rFonts w:ascii="NunitoSans" w:eastAsia="Times New Roman" w:hAnsi="NunitoSans" w:cs="Times New Roman"/>
          <w:color w:val="404040"/>
          <w:sz w:val="24"/>
          <w:szCs w:val="24"/>
          <w:lang w:eastAsia="cs-CZ"/>
        </w:rPr>
        <w:t>, spoluautor daného výzkumu a ředitel Výzkumného ústavu práce a sociálních věcí, v. v. i. (RILSA), novinářům/-kám </w:t>
      </w:r>
      <w:r w:rsidRPr="000445FE">
        <w:rPr>
          <w:rFonts w:ascii="NunitoSans" w:eastAsia="Times New Roman" w:hAnsi="NunitoSans" w:cs="Times New Roman"/>
          <w:b/>
          <w:bCs/>
          <w:color w:val="404040"/>
          <w:sz w:val="24"/>
          <w:szCs w:val="24"/>
          <w:lang w:eastAsia="cs-CZ"/>
        </w:rPr>
        <w:t>rád sdělí další fakta a souvislosti.</w:t>
      </w:r>
    </w:p>
    <w:p w:rsidR="000445FE" w:rsidRPr="000445FE" w:rsidRDefault="000445FE" w:rsidP="000445FE">
      <w:pPr>
        <w:shd w:val="clear" w:color="auto" w:fill="FFFFFF"/>
        <w:spacing w:after="100" w:afterAutospacing="1" w:line="240" w:lineRule="auto"/>
        <w:jc w:val="both"/>
        <w:rPr>
          <w:rFonts w:ascii="NunitoSans" w:eastAsia="Times New Roman" w:hAnsi="NunitoSans" w:cs="Times New Roman"/>
          <w:color w:val="404040"/>
          <w:sz w:val="24"/>
          <w:szCs w:val="24"/>
          <w:lang w:eastAsia="cs-CZ"/>
        </w:rPr>
      </w:pPr>
      <w:r w:rsidRPr="000445FE">
        <w:rPr>
          <w:rFonts w:ascii="NunitoSans" w:eastAsia="Times New Roman" w:hAnsi="NunitoSans" w:cs="Times New Roman"/>
          <w:b/>
          <w:bCs/>
          <w:color w:val="404040"/>
          <w:sz w:val="24"/>
          <w:szCs w:val="24"/>
          <w:lang w:eastAsia="cs-CZ"/>
        </w:rPr>
        <w:t>E-mailový kontakt: </w:t>
      </w:r>
      <w:hyperlink r:id="rId6" w:tgtFrame="_blank" w:history="1">
        <w:r w:rsidRPr="000445FE">
          <w:rPr>
            <w:rFonts w:ascii="NunitoSans" w:eastAsia="Times New Roman" w:hAnsi="NunitoSans" w:cs="Times New Roman"/>
            <w:color w:val="404040"/>
            <w:sz w:val="24"/>
            <w:szCs w:val="24"/>
            <w:u w:val="single"/>
            <w:lang w:eastAsia="cs-CZ"/>
          </w:rPr>
          <w:t>robin.maialeh@rilsa.cz</w:t>
        </w:r>
      </w:hyperlink>
      <w:r w:rsidRPr="000445FE">
        <w:rPr>
          <w:rFonts w:ascii="NunitoSans" w:eastAsia="Times New Roman" w:hAnsi="NunitoSans" w:cs="Times New Roman"/>
          <w:color w:val="404040"/>
          <w:sz w:val="24"/>
          <w:szCs w:val="24"/>
          <w:lang w:eastAsia="cs-CZ"/>
        </w:rPr>
        <w:t> </w:t>
      </w:r>
    </w:p>
    <w:p w:rsidR="000445FE" w:rsidRPr="000445FE" w:rsidRDefault="000445FE" w:rsidP="000445FE">
      <w:pPr>
        <w:shd w:val="clear" w:color="auto" w:fill="FFFFFF"/>
        <w:spacing w:after="100" w:afterAutospacing="1" w:line="240" w:lineRule="auto"/>
        <w:jc w:val="both"/>
        <w:rPr>
          <w:rFonts w:ascii="NunitoSans" w:eastAsia="Times New Roman" w:hAnsi="NunitoSans" w:cs="Times New Roman"/>
          <w:color w:val="404040"/>
          <w:sz w:val="24"/>
          <w:szCs w:val="24"/>
          <w:lang w:eastAsia="cs-CZ"/>
        </w:rPr>
      </w:pPr>
      <w:r w:rsidRPr="000445FE">
        <w:rPr>
          <w:rFonts w:ascii="NunitoSans" w:eastAsia="Times New Roman" w:hAnsi="NunitoSans" w:cs="Times New Roman"/>
          <w:color w:val="404040"/>
          <w:sz w:val="24"/>
          <w:szCs w:val="24"/>
          <w:lang w:eastAsia="cs-CZ"/>
        </w:rPr>
        <w:t>Kontakt pro média v dalších záležitostech:</w:t>
      </w:r>
    </w:p>
    <w:p w:rsidR="00CD5350" w:rsidRDefault="000445FE" w:rsidP="000445FE">
      <w:pPr>
        <w:shd w:val="clear" w:color="auto" w:fill="FFFFFF"/>
        <w:spacing w:after="100" w:afterAutospacing="1" w:line="240" w:lineRule="auto"/>
        <w:jc w:val="both"/>
      </w:pPr>
      <w:r w:rsidRPr="000445FE">
        <w:rPr>
          <w:rFonts w:ascii="NunitoSans" w:eastAsia="Times New Roman" w:hAnsi="NunitoSans" w:cs="Times New Roman"/>
          <w:color w:val="404040"/>
          <w:sz w:val="24"/>
          <w:szCs w:val="24"/>
          <w:lang w:eastAsia="cs-CZ"/>
        </w:rPr>
        <w:t>Petr Šafařík</w:t>
      </w:r>
      <w:r w:rsidRPr="000445FE">
        <w:rPr>
          <w:rFonts w:ascii="NunitoSans" w:eastAsia="Times New Roman" w:hAnsi="NunitoSans" w:cs="Times New Roman"/>
          <w:color w:val="404040"/>
          <w:sz w:val="24"/>
          <w:szCs w:val="24"/>
          <w:lang w:eastAsia="cs-CZ"/>
        </w:rPr>
        <w:br/>
        <w:t>e-mail: </w:t>
      </w:r>
      <w:hyperlink r:id="rId7" w:tgtFrame="_blank" w:history="1">
        <w:r w:rsidRPr="000445FE">
          <w:rPr>
            <w:rFonts w:ascii="NunitoSans" w:eastAsia="Times New Roman" w:hAnsi="NunitoSans" w:cs="Times New Roman"/>
            <w:color w:val="404040"/>
            <w:sz w:val="24"/>
            <w:szCs w:val="24"/>
            <w:u w:val="single"/>
            <w:lang w:eastAsia="cs-CZ"/>
          </w:rPr>
          <w:t>petr.safarik@rilsa.cz</w:t>
        </w:r>
      </w:hyperlink>
      <w:r w:rsidRPr="000445FE">
        <w:rPr>
          <w:rFonts w:ascii="NunitoSans" w:eastAsia="Times New Roman" w:hAnsi="NunitoSans" w:cs="Times New Roman"/>
          <w:color w:val="404040"/>
          <w:sz w:val="24"/>
          <w:szCs w:val="24"/>
          <w:lang w:eastAsia="cs-CZ"/>
        </w:rPr>
        <w:br/>
        <w:t>tel.: +420 777 529</w:t>
      </w:r>
      <w:r>
        <w:rPr>
          <w:rFonts w:ascii="NunitoSans" w:eastAsia="Times New Roman" w:hAnsi="NunitoSans" w:cs="Times New Roman"/>
          <w:color w:val="404040"/>
          <w:sz w:val="24"/>
          <w:szCs w:val="24"/>
          <w:lang w:eastAsia="cs-CZ"/>
        </w:rPr>
        <w:t> </w:t>
      </w:r>
      <w:r w:rsidRPr="000445FE">
        <w:rPr>
          <w:rFonts w:ascii="NunitoSans" w:eastAsia="Times New Roman" w:hAnsi="NunitoSans" w:cs="Times New Roman"/>
          <w:color w:val="404040"/>
          <w:sz w:val="24"/>
          <w:szCs w:val="24"/>
          <w:lang w:eastAsia="cs-CZ"/>
        </w:rPr>
        <w:t>070</w:t>
      </w:r>
    </w:p>
    <w:sectPr w:rsidR="00CD53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NunitoSans">
    <w:altName w:val="Cambria"/>
    <w:panose1 w:val="00000000000000000000"/>
    <w:charset w:val="00"/>
    <w:family w:val="roman"/>
    <w:notTrueType/>
    <w:pitch w:val="default"/>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5FE"/>
    <w:rsid w:val="000445FE"/>
    <w:rsid w:val="00C84B72"/>
    <w:rsid w:val="00CD5350"/>
    <w:rsid w:val="00DA31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B6AEB8-511C-4903-BDD4-D11A04221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2">
    <w:name w:val="heading 2"/>
    <w:basedOn w:val="Normln"/>
    <w:link w:val="Nadpis2Char"/>
    <w:uiPriority w:val="9"/>
    <w:qFormat/>
    <w:rsid w:val="000445FE"/>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0445FE"/>
    <w:rPr>
      <w:rFonts w:ascii="Times New Roman" w:eastAsia="Times New Roman" w:hAnsi="Times New Roman" w:cs="Times New Roman"/>
      <w:b/>
      <w:bCs/>
      <w:sz w:val="36"/>
      <w:szCs w:val="36"/>
      <w:lang w:eastAsia="cs-CZ"/>
    </w:rPr>
  </w:style>
  <w:style w:type="paragraph" w:customStyle="1" w:styleId="has-text-align-center">
    <w:name w:val="has-text-align-center"/>
    <w:basedOn w:val="Normln"/>
    <w:rsid w:val="000445FE"/>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Normlnweb">
    <w:name w:val="Normal (Web)"/>
    <w:basedOn w:val="Normln"/>
    <w:uiPriority w:val="99"/>
    <w:semiHidden/>
    <w:unhideWhenUsed/>
    <w:rsid w:val="000445FE"/>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0445FE"/>
    <w:rPr>
      <w:b/>
      <w:bCs/>
    </w:rPr>
  </w:style>
  <w:style w:type="character" w:styleId="Zdraznn">
    <w:name w:val="Emphasis"/>
    <w:basedOn w:val="Standardnpsmoodstavce"/>
    <w:uiPriority w:val="20"/>
    <w:qFormat/>
    <w:rsid w:val="000445FE"/>
    <w:rPr>
      <w:i/>
      <w:iCs/>
    </w:rPr>
  </w:style>
  <w:style w:type="character" w:styleId="Hypertextovodkaz">
    <w:name w:val="Hyperlink"/>
    <w:basedOn w:val="Standardnpsmoodstavce"/>
    <w:uiPriority w:val="99"/>
    <w:semiHidden/>
    <w:unhideWhenUsed/>
    <w:rsid w:val="000445F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755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petr.safarik@rilsa.cz"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obin.maialeh@rilsa.cz" TargetMode="External"/><Relationship Id="rId5" Type="http://schemas.openxmlformats.org/officeDocument/2006/relationships/hyperlink" Target="https://katalog.vupsv.cz/fulltext/PB_01-2024_ENG.pdf" TargetMode="External"/><Relationship Id="rId4" Type="http://schemas.openxmlformats.org/officeDocument/2006/relationships/hyperlink" Target="https://katalog.vupsv.cz/fulltext/PB_01-2024_CZE.pdf" TargetMode="Externa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354</Words>
  <Characters>2095</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Šafařík Petr</dc:creator>
  <cp:keywords/>
  <dc:description/>
  <cp:lastModifiedBy>Šafařík Petr</cp:lastModifiedBy>
  <cp:revision>1</cp:revision>
  <dcterms:created xsi:type="dcterms:W3CDTF">2024-03-19T14:44:00Z</dcterms:created>
  <dcterms:modified xsi:type="dcterms:W3CDTF">2024-03-19T14:45:00Z</dcterms:modified>
</cp:coreProperties>
</file>